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F75B0" w14:textId="23332499" w:rsidR="005719EE" w:rsidRDefault="005719EE">
      <w:r>
        <w:rPr>
          <w:noProof/>
        </w:rPr>
        <w:drawing>
          <wp:inline distT="0" distB="0" distL="0" distR="0" wp14:anchorId="5E84C7AB" wp14:editId="6937F807">
            <wp:extent cx="1981204" cy="36831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4" cy="368310"/>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5719EE" w14:paraId="5404CDAE" w14:textId="77777777" w:rsidTr="005719EE">
        <w:tc>
          <w:tcPr>
            <w:tcW w:w="9062" w:type="dxa"/>
            <w:shd w:val="clear" w:color="auto" w:fill="D9D9D9" w:themeFill="background1" w:themeFillShade="D9"/>
          </w:tcPr>
          <w:p w14:paraId="1D2FF633" w14:textId="7F98D4ED" w:rsidR="005719EE" w:rsidRPr="005719EE" w:rsidRDefault="005719EE" w:rsidP="005719EE">
            <w:pPr>
              <w:jc w:val="center"/>
              <w:rPr>
                <w:b/>
                <w:bCs/>
              </w:rPr>
            </w:pPr>
            <w:r w:rsidRPr="005719EE">
              <w:rPr>
                <w:b/>
                <w:bCs/>
              </w:rPr>
              <w:t>Offre en stage pour les étudiant e s HES soins infirmiers</w:t>
            </w:r>
          </w:p>
        </w:tc>
      </w:tr>
      <w:tr w:rsidR="005719EE" w14:paraId="3136CE51" w14:textId="77777777" w:rsidTr="005719EE">
        <w:tc>
          <w:tcPr>
            <w:tcW w:w="9062" w:type="dxa"/>
            <w:shd w:val="clear" w:color="auto" w:fill="D9D9D9" w:themeFill="background1" w:themeFillShade="D9"/>
          </w:tcPr>
          <w:p w14:paraId="23348749" w14:textId="5A383559" w:rsidR="005719EE" w:rsidRPr="005719EE" w:rsidRDefault="00C43F8E" w:rsidP="005719EE">
            <w:pPr>
              <w:jc w:val="center"/>
              <w:rPr>
                <w:rFonts w:cstheme="minorHAnsi"/>
                <w:b/>
                <w:bCs/>
                <w:lang w:eastAsia="fr-CH"/>
              </w:rPr>
            </w:pPr>
            <w:r>
              <w:rPr>
                <w:rFonts w:cstheme="minorHAnsi"/>
                <w:b/>
                <w:bCs/>
                <w:lang w:eastAsia="fr-CH"/>
              </w:rPr>
              <w:t>PE</w:t>
            </w:r>
            <w:r w:rsidR="00F60B21">
              <w:rPr>
                <w:rFonts w:cstheme="minorHAnsi"/>
                <w:b/>
                <w:bCs/>
                <w:lang w:eastAsia="fr-CH"/>
              </w:rPr>
              <w:t>CH</w:t>
            </w:r>
            <w:r w:rsidR="005719EE" w:rsidRPr="005719EE">
              <w:rPr>
                <w:rFonts w:cstheme="minorHAnsi"/>
                <w:b/>
                <w:bCs/>
                <w:lang w:eastAsia="fr-CH"/>
              </w:rPr>
              <w:t xml:space="preserve"> : </w:t>
            </w:r>
            <w:r>
              <w:rPr>
                <w:rFonts w:cstheme="minorHAnsi"/>
                <w:b/>
                <w:bCs/>
                <w:lang w:eastAsia="fr-CH"/>
              </w:rPr>
              <w:t xml:space="preserve">Centre </w:t>
            </w:r>
            <w:r w:rsidR="00F60B21">
              <w:rPr>
                <w:rFonts w:cstheme="minorHAnsi"/>
                <w:b/>
                <w:bCs/>
                <w:lang w:eastAsia="fr-CH"/>
              </w:rPr>
              <w:t>thérapeutique de jour pour adolescents</w:t>
            </w:r>
          </w:p>
        </w:tc>
      </w:tr>
    </w:tbl>
    <w:p w14:paraId="6D003D33" w14:textId="4E75F708" w:rsidR="005719EE" w:rsidRDefault="005719EE">
      <w:r>
        <w:t>Afin que vous puissiez vous préparer au mieux pour votre stage, voici quelques informations qui pourront vous être utiles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6368"/>
      </w:tblGrid>
      <w:tr w:rsidR="005719EE" w14:paraId="7E69CABF" w14:textId="77777777" w:rsidTr="00BE075F">
        <w:tc>
          <w:tcPr>
            <w:tcW w:w="9062" w:type="dxa"/>
            <w:gridSpan w:val="2"/>
            <w:shd w:val="clear" w:color="auto" w:fill="D9D9D9" w:themeFill="background1" w:themeFillShade="D9"/>
          </w:tcPr>
          <w:p w14:paraId="4194A424" w14:textId="009989DD" w:rsidR="005719EE" w:rsidRPr="005719EE" w:rsidRDefault="005719EE" w:rsidP="005719EE">
            <w:pPr>
              <w:rPr>
                <w:b/>
                <w:bCs/>
              </w:rPr>
            </w:pPr>
            <w:r>
              <w:rPr>
                <w:b/>
                <w:bCs/>
              </w:rPr>
              <w:t>1. Carte d’identité :</w:t>
            </w:r>
          </w:p>
        </w:tc>
      </w:tr>
      <w:tr w:rsidR="005719EE" w14:paraId="15B08FE0" w14:textId="77777777" w:rsidTr="00571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Pr>
          <w:p w14:paraId="5A890EC9" w14:textId="18F1945F" w:rsidR="005719EE" w:rsidRDefault="005719EE" w:rsidP="005719EE">
            <w:r>
              <w:t>Institution</w:t>
            </w:r>
          </w:p>
        </w:tc>
        <w:tc>
          <w:tcPr>
            <w:tcW w:w="6368" w:type="dxa"/>
          </w:tcPr>
          <w:p w14:paraId="57092A82" w14:textId="2C67A7D3" w:rsidR="005719EE" w:rsidRDefault="005719EE" w:rsidP="005719EE">
            <w:r>
              <w:t>Centre Hospitalier Universitaire Vaudois (CHUV)</w:t>
            </w:r>
          </w:p>
        </w:tc>
      </w:tr>
      <w:tr w:rsidR="005719EE" w14:paraId="4B0A6377" w14:textId="77777777" w:rsidTr="00571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Pr>
          <w:p w14:paraId="318C4544" w14:textId="0E60291D" w:rsidR="005719EE" w:rsidRDefault="005719EE" w:rsidP="005719EE">
            <w:r>
              <w:t>Département</w:t>
            </w:r>
          </w:p>
        </w:tc>
        <w:tc>
          <w:tcPr>
            <w:tcW w:w="6368" w:type="dxa"/>
          </w:tcPr>
          <w:p w14:paraId="6D4A00B7" w14:textId="1FFCF297" w:rsidR="005719EE" w:rsidRDefault="005719EE" w:rsidP="005719EE">
            <w:r>
              <w:t>Département de psychiatrie</w:t>
            </w:r>
          </w:p>
        </w:tc>
      </w:tr>
      <w:tr w:rsidR="005719EE" w14:paraId="24DC8A14" w14:textId="77777777" w:rsidTr="00571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Pr>
          <w:p w14:paraId="6896B727" w14:textId="5F53BDAE" w:rsidR="005719EE" w:rsidRDefault="005719EE" w:rsidP="005719EE">
            <w:r>
              <w:t>Service</w:t>
            </w:r>
          </w:p>
        </w:tc>
        <w:tc>
          <w:tcPr>
            <w:tcW w:w="6368" w:type="dxa"/>
          </w:tcPr>
          <w:p w14:paraId="78FD34B9" w14:textId="1B2AAB8E" w:rsidR="005719EE" w:rsidRDefault="00A61DE4" w:rsidP="005719EE">
            <w:r>
              <w:t>SUPEA</w:t>
            </w:r>
            <w:r w:rsidR="005719EE">
              <w:t xml:space="preserve"> </w:t>
            </w:r>
            <w:r>
              <w:t>– Service universitaire de psychiatrie de l’enfant et l’adolescent</w:t>
            </w:r>
          </w:p>
        </w:tc>
      </w:tr>
      <w:tr w:rsidR="005719EE" w14:paraId="2E5EEC3B" w14:textId="77777777" w:rsidTr="00571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Pr>
          <w:p w14:paraId="3BA9F842" w14:textId="22A224E7" w:rsidR="005719EE" w:rsidRDefault="005719EE" w:rsidP="005719EE">
            <w:r>
              <w:t>Unité</w:t>
            </w:r>
          </w:p>
        </w:tc>
        <w:tc>
          <w:tcPr>
            <w:tcW w:w="6368" w:type="dxa"/>
          </w:tcPr>
          <w:p w14:paraId="02A5D166" w14:textId="5404AA11" w:rsidR="005719EE" w:rsidRDefault="00F60B21" w:rsidP="005719EE">
            <w:r>
              <w:t>PECH</w:t>
            </w:r>
            <w:r w:rsidR="005719EE">
              <w:t xml:space="preserve"> – </w:t>
            </w:r>
            <w:r>
              <w:t>Centre thérapeutique de jour pour adolescents</w:t>
            </w:r>
          </w:p>
        </w:tc>
      </w:tr>
      <w:tr w:rsidR="005719EE" w14:paraId="39BFCADB" w14:textId="77777777" w:rsidTr="005719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Pr>
          <w:p w14:paraId="0A99536E" w14:textId="4E12C07D" w:rsidR="005719EE" w:rsidRDefault="005719EE" w:rsidP="005719EE">
            <w:r>
              <w:t>Coordonnées</w:t>
            </w:r>
          </w:p>
        </w:tc>
        <w:tc>
          <w:tcPr>
            <w:tcW w:w="6368" w:type="dxa"/>
          </w:tcPr>
          <w:p w14:paraId="586C73EB" w14:textId="77777777" w:rsidR="005719EE" w:rsidRDefault="005719EE" w:rsidP="005719EE">
            <w:r>
              <w:t>CHUV</w:t>
            </w:r>
          </w:p>
          <w:p w14:paraId="785A1972" w14:textId="77777777" w:rsidR="005719EE" w:rsidRDefault="005719EE" w:rsidP="005719EE">
            <w:r>
              <w:t>Département de psychiatrie</w:t>
            </w:r>
          </w:p>
          <w:p w14:paraId="20F61E87" w14:textId="14E87E62" w:rsidR="005719EE" w:rsidRDefault="00F60B21" w:rsidP="005719EE">
            <w:r>
              <w:t>CTJA</w:t>
            </w:r>
          </w:p>
          <w:p w14:paraId="6EAF7FA9" w14:textId="66090C1F" w:rsidR="00A61DE4" w:rsidRDefault="00F60B21" w:rsidP="005719EE">
            <w:r>
              <w:t>Avenue de Beaumont 48</w:t>
            </w:r>
          </w:p>
          <w:p w14:paraId="49653D21" w14:textId="2BC22BCC" w:rsidR="002E4DAF" w:rsidRDefault="00F60B21" w:rsidP="005719EE">
            <w:r>
              <w:t>1012</w:t>
            </w:r>
            <w:r w:rsidR="002E4DAF">
              <w:t xml:space="preserve"> </w:t>
            </w:r>
            <w:r w:rsidR="00A61DE4">
              <w:t>Lausanne</w:t>
            </w:r>
          </w:p>
          <w:p w14:paraId="57F6EB77" w14:textId="77777777" w:rsidR="00F60B21" w:rsidRDefault="002E4DAF" w:rsidP="00F60B21">
            <w:r>
              <w:t xml:space="preserve">Tél : 021 314 </w:t>
            </w:r>
            <w:r w:rsidR="00F60B21">
              <w:t>17</w:t>
            </w:r>
            <w:r>
              <w:t xml:space="preserve"> </w:t>
            </w:r>
            <w:r w:rsidR="00F60B21">
              <w:t>30</w:t>
            </w:r>
            <w:r w:rsidR="00C43F8E">
              <w:t xml:space="preserve"> </w:t>
            </w:r>
          </w:p>
          <w:p w14:paraId="37224BB9" w14:textId="59958407" w:rsidR="002E4DAF" w:rsidRDefault="0002035E" w:rsidP="00F60B21">
            <w:hyperlink r:id="rId6" w:history="1">
              <w:r w:rsidR="00A61DE4">
                <w:rPr>
                  <w:rStyle w:val="Lienhypertexte"/>
                </w:rPr>
                <w:t>Service de psychiatrie de l'enfant et l'adolescent - CHUV</w:t>
              </w:r>
            </w:hyperlink>
          </w:p>
        </w:tc>
      </w:tr>
    </w:tbl>
    <w:p w14:paraId="06BBAEB7" w14:textId="692A652A" w:rsidR="002E4DAF" w:rsidRDefault="002E4DAF" w:rsidP="005719E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2E4DAF" w14:paraId="4A9CCB45" w14:textId="77777777" w:rsidTr="00BE075F">
        <w:tc>
          <w:tcPr>
            <w:tcW w:w="9062" w:type="dxa"/>
            <w:shd w:val="clear" w:color="auto" w:fill="D9D9D9" w:themeFill="background1" w:themeFillShade="D9"/>
          </w:tcPr>
          <w:p w14:paraId="4F3F4DE9" w14:textId="26E02977" w:rsidR="002E4DAF" w:rsidRPr="005719EE" w:rsidRDefault="002E4DAF" w:rsidP="00BE075F">
            <w:pPr>
              <w:rPr>
                <w:b/>
                <w:bCs/>
              </w:rPr>
            </w:pPr>
            <w:r>
              <w:rPr>
                <w:b/>
                <w:bCs/>
              </w:rPr>
              <w:t>2. Missions principales :</w:t>
            </w:r>
          </w:p>
        </w:tc>
      </w:tr>
    </w:tbl>
    <w:p w14:paraId="39910C91" w14:textId="77777777" w:rsidR="00F60B21" w:rsidRPr="00F60B21" w:rsidRDefault="00F60B21" w:rsidP="0002035E">
      <w:pPr>
        <w:spacing w:after="0"/>
        <w:jc w:val="both"/>
      </w:pPr>
      <w:r w:rsidRPr="00F60B21">
        <w:t>Le</w:t>
      </w:r>
      <w:r w:rsidRPr="00F60B21">
        <w:rPr>
          <w:b/>
        </w:rPr>
        <w:t xml:space="preserve"> CTJA</w:t>
      </w:r>
      <w:r w:rsidRPr="00F60B21">
        <w:t xml:space="preserve"> propose des soins pédopsychiatriques selon une approche bio-psycho-sociale et pédagogique qui intègre une prise en charge en thérapie institutionnelle, généralement en collaboration bifocale avec le thérapeute </w:t>
      </w:r>
      <w:proofErr w:type="spellStart"/>
      <w:r w:rsidRPr="00F60B21">
        <w:t>adresseur</w:t>
      </w:r>
      <w:proofErr w:type="spellEnd"/>
      <w:r w:rsidRPr="00F60B21">
        <w:t xml:space="preserve">, installé à l’extérieur du centre. Les bases théoriques utilisées au CTJA sont plurimodales. En effet, les trois approches FMH se déploient de manière complémentaire (TCC, psycho-dynamique et systémique). Organisé autour d’un système de triple référence, un thérapeute, un membre de l’équipe soignante ainsi qu’un enseignant spécialisé collaborent durant la prise en charge de manière pluridisciplinaire et réalisent un programme individualisé. Le suivi </w:t>
      </w:r>
      <w:proofErr w:type="gramStart"/>
      <w:r w:rsidRPr="00F60B21">
        <w:t>thérapeutique  comprend</w:t>
      </w:r>
      <w:proofErr w:type="gramEnd"/>
      <w:r w:rsidRPr="00F60B21">
        <w:t xml:space="preserve"> des entretiens individuels, des entretiens de famille et des ateliers thérapeutiques. </w:t>
      </w:r>
      <w:r w:rsidRPr="00F60B21">
        <w:rPr>
          <w:lang w:val="fr-FR"/>
        </w:rPr>
        <w:t xml:space="preserve">Le CTJA organise et coordonne ses prises en charge au cœur du réseau. </w:t>
      </w:r>
    </w:p>
    <w:p w14:paraId="0C9BE1E8" w14:textId="77777777" w:rsidR="00F60B21" w:rsidRPr="00F60B21" w:rsidRDefault="00F60B21" w:rsidP="0002035E">
      <w:pPr>
        <w:spacing w:after="0"/>
        <w:jc w:val="both"/>
        <w:rPr>
          <w:lang w:val="fr-FR"/>
        </w:rPr>
      </w:pPr>
    </w:p>
    <w:p w14:paraId="533642D8" w14:textId="77777777" w:rsidR="00F60B21" w:rsidRPr="00F60B21" w:rsidRDefault="00F60B21" w:rsidP="0002035E">
      <w:pPr>
        <w:spacing w:after="0"/>
        <w:jc w:val="both"/>
        <w:rPr>
          <w:lang w:val="fr-FR"/>
        </w:rPr>
      </w:pPr>
      <w:r w:rsidRPr="00F60B21">
        <w:rPr>
          <w:b/>
          <w:lang w:val="fr-FR"/>
        </w:rPr>
        <w:t>Le soutien aux familles :</w:t>
      </w:r>
      <w:r w:rsidRPr="00F60B21">
        <w:rPr>
          <w:lang w:val="fr-FR"/>
        </w:rPr>
        <w:t xml:space="preserve"> L’AS collabore avec les familles dans la mise en place d’un projet, des démarches (construction d’un dossier, lettre de stage, motivation CV, …). L’AS est en charge des demandes AI pour les patients qui nécessitent une scolarisation spéciale. L’AS est </w:t>
      </w:r>
      <w:proofErr w:type="gramStart"/>
      <w:r w:rsidRPr="00F60B21">
        <w:rPr>
          <w:lang w:val="fr-FR"/>
        </w:rPr>
        <w:t>garante</w:t>
      </w:r>
      <w:proofErr w:type="gramEnd"/>
      <w:r w:rsidRPr="00F60B21">
        <w:rPr>
          <w:lang w:val="fr-FR"/>
        </w:rPr>
        <w:t xml:space="preserve"> du maintien des délais d’inscription face aux structures de transition pouvant accueillir les jeunes. Elle collabore activement avec les foyers accueillant les jeunes du CTJA ou faisant office de projet de lieu de vie. Collabore avec le SPJ dans les situations qui impliquent un signalement aux autorités juridiques. Soutien social, administratif aux familles en situations précaires. </w:t>
      </w:r>
    </w:p>
    <w:p w14:paraId="63AF2FD5" w14:textId="77777777" w:rsidR="00F60B21" w:rsidRPr="00F60B21" w:rsidRDefault="00F60B21" w:rsidP="0002035E">
      <w:pPr>
        <w:spacing w:after="0"/>
        <w:jc w:val="both"/>
        <w:rPr>
          <w:lang w:val="fr-FR"/>
        </w:rPr>
      </w:pPr>
    </w:p>
    <w:p w14:paraId="52CAF6A3" w14:textId="77777777" w:rsidR="00F60B21" w:rsidRPr="00F60B21" w:rsidRDefault="00F60B21" w:rsidP="0002035E">
      <w:pPr>
        <w:spacing w:after="0"/>
        <w:jc w:val="both"/>
        <w:rPr>
          <w:lang w:val="fr-FR"/>
        </w:rPr>
      </w:pPr>
      <w:r w:rsidRPr="00F60B21">
        <w:rPr>
          <w:b/>
        </w:rPr>
        <w:t>Orientation professionnelle</w:t>
      </w:r>
      <w:r w:rsidRPr="00F60B21">
        <w:t xml:space="preserve"> : Offerte en premier lieu aux jeunes du G2. Le CTJA </w:t>
      </w:r>
      <w:proofErr w:type="gramStart"/>
      <w:r w:rsidRPr="00F60B21">
        <w:t>a  un</w:t>
      </w:r>
      <w:proofErr w:type="gramEnd"/>
      <w:r w:rsidRPr="00F60B21">
        <w:t xml:space="preserve"> rôle important envers le jeune afin que ce dernier investisse un projet vers l’extérieur. Nous collaborons avec diverses </w:t>
      </w:r>
      <w:proofErr w:type="gramStart"/>
      <w:r w:rsidRPr="00F60B21">
        <w:t>structures:</w:t>
      </w:r>
      <w:proofErr w:type="gramEnd"/>
      <w:r w:rsidRPr="00F60B21">
        <w:t xml:space="preserve"> écoles, SPJ, foyers, milieu professionnel, institutions spécialisées, ateliers protégés, OPTI… Nous proposons aux jeunes d’effectuer un bilan de compétences et/ou d’intérêts en étroite collaboration avec </w:t>
      </w:r>
      <w:proofErr w:type="spellStart"/>
      <w:r w:rsidRPr="00F60B21">
        <w:rPr>
          <w:i/>
        </w:rPr>
        <w:t>Start’up</w:t>
      </w:r>
      <w:proofErr w:type="spellEnd"/>
      <w:r w:rsidRPr="00F60B21">
        <w:t xml:space="preserve">. </w:t>
      </w:r>
      <w:r w:rsidRPr="00F60B21">
        <w:rPr>
          <w:b/>
        </w:rPr>
        <w:t>L’assistante sociale</w:t>
      </w:r>
      <w:r w:rsidRPr="00F60B21">
        <w:t xml:space="preserve"> et l’enseignante aident le jeune à élaborer, construire et mettre en œuvre un nouveau projet sur l’extérieur. Le jeune doit être l’élément moteur de son projet professionnel.</w:t>
      </w:r>
      <w:r w:rsidRPr="00F60B21">
        <w:rPr>
          <w:lang w:val="fr-FR"/>
        </w:rPr>
        <w:t xml:space="preserve"> </w:t>
      </w:r>
    </w:p>
    <w:p w14:paraId="4F64B982" w14:textId="77777777" w:rsidR="00F60B21" w:rsidRPr="00F60B21" w:rsidRDefault="00F60B21" w:rsidP="00F60B21">
      <w:pPr>
        <w:spacing w:after="0"/>
      </w:pPr>
    </w:p>
    <w:p w14:paraId="662D9873" w14:textId="77777777" w:rsidR="00F60B21" w:rsidRPr="00F60B21" w:rsidRDefault="00F60B21" w:rsidP="0002035E">
      <w:pPr>
        <w:spacing w:after="0"/>
        <w:jc w:val="both"/>
      </w:pPr>
      <w:r w:rsidRPr="00F60B21">
        <w:rPr>
          <w:b/>
        </w:rPr>
        <w:t>La classe :</w:t>
      </w:r>
      <w:r w:rsidRPr="00F60B21">
        <w:t xml:space="preserve"> Au CTJA, un enseignement personnalisé et individualisé utilise plusieurs approches et modèles pédagogiques (enseignement stratégique, enseignement </w:t>
      </w:r>
      <w:proofErr w:type="gramStart"/>
      <w:r w:rsidRPr="00F60B21">
        <w:t>coopératif..</w:t>
      </w:r>
      <w:proofErr w:type="gramEnd"/>
      <w:r w:rsidRPr="00F60B21">
        <w:t>), afin de maximiser et de consolider les apprentissages, dans le respect des programmes Vaudois dans les branches principales, comme le français, les mathématiques, l’allemand et l’anglais).  Chaque jeune est évalué au niveau de ses acquis afin que son programme individualisé corresponde à ses compétences et qu’il puisse ainsi poursuivre et maintenir ses acquisitions au sein de son parcours scolaire, grâce à une étroite collaboration avec les établissements scolaires surtout dans les cas où il y a réintégration.</w:t>
      </w:r>
    </w:p>
    <w:p w14:paraId="7E3E6703" w14:textId="77777777" w:rsidR="00F60B21" w:rsidRPr="00F60B21" w:rsidRDefault="00F60B21" w:rsidP="0002035E">
      <w:pPr>
        <w:spacing w:after="0"/>
        <w:jc w:val="both"/>
      </w:pPr>
    </w:p>
    <w:p w14:paraId="3B02EC3B" w14:textId="0AA6013F" w:rsidR="00F60B21" w:rsidRPr="00F60B21" w:rsidRDefault="00F60B21" w:rsidP="0002035E">
      <w:pPr>
        <w:spacing w:after="0"/>
        <w:jc w:val="both"/>
        <w:rPr>
          <w:b/>
          <w:bCs/>
          <w:u w:val="single"/>
        </w:rPr>
      </w:pPr>
      <w:r w:rsidRPr="00F60B21">
        <w:rPr>
          <w:b/>
        </w:rPr>
        <w:t>Le programme des activités :</w:t>
      </w:r>
      <w:r w:rsidRPr="00F60B21">
        <w:t xml:space="preserve"> </w:t>
      </w:r>
      <w:r w:rsidRPr="00F60B21">
        <w:rPr>
          <w:bCs/>
        </w:rPr>
        <w:t>L’</w:t>
      </w:r>
      <w:r w:rsidRPr="00F60B21">
        <w:t xml:space="preserve">organisation de la semaine se prépare en séance d’accueil avec les jeunes. </w:t>
      </w:r>
      <w:r w:rsidRPr="00F60B21">
        <w:rPr>
          <w:bCs/>
        </w:rPr>
        <w:t>Divers</w:t>
      </w:r>
      <w:r w:rsidRPr="00F60B21">
        <w:t xml:space="preserve"> espaces de créativité permettent de développer des compétences artistiques, comme les ateliers musique selon une pédagogie participative. </w:t>
      </w:r>
      <w:r w:rsidRPr="00F60B21">
        <w:rPr>
          <w:bCs/>
        </w:rPr>
        <w:t xml:space="preserve">L’atelier jeux offre une socialisation </w:t>
      </w:r>
      <w:r w:rsidRPr="00F60B21">
        <w:t>autour de différents jeux de société.</w:t>
      </w:r>
    </w:p>
    <w:p w14:paraId="7A2D5CEF" w14:textId="77777777" w:rsidR="00F60B21" w:rsidRPr="00F60B21" w:rsidRDefault="00F60B21" w:rsidP="0002035E">
      <w:pPr>
        <w:spacing w:after="0"/>
        <w:jc w:val="both"/>
      </w:pPr>
    </w:p>
    <w:p w14:paraId="3953444C" w14:textId="77777777" w:rsidR="00F60B21" w:rsidRPr="00F60B21" w:rsidRDefault="00F60B21" w:rsidP="0002035E">
      <w:pPr>
        <w:spacing w:after="0"/>
        <w:jc w:val="both"/>
      </w:pPr>
      <w:r w:rsidRPr="00F60B21">
        <w:t>Au CTJA, l’</w:t>
      </w:r>
      <w:r w:rsidRPr="00F60B21">
        <w:rPr>
          <w:b/>
          <w:bCs/>
        </w:rPr>
        <w:t>ergothérapie</w:t>
      </w:r>
      <w:r w:rsidRPr="00F60B21">
        <w:t xml:space="preserve">, dont les bases sont médicales, psychosociales et pédagogiques, a pour but de lutter contre les effets du trouble psychique et de promouvoir la </w:t>
      </w:r>
      <w:r w:rsidRPr="00F60B21">
        <w:rPr>
          <w:bCs/>
        </w:rPr>
        <w:t>réintégration du jeune dans un programme scolaire ou professionnel</w:t>
      </w:r>
      <w:r w:rsidRPr="00F60B21">
        <w:t>. Une amélioration des capacités d’</w:t>
      </w:r>
      <w:r w:rsidRPr="00F60B21">
        <w:rPr>
          <w:bCs/>
        </w:rPr>
        <w:t>intégration sociale</w:t>
      </w:r>
      <w:r w:rsidRPr="00F60B21">
        <w:t xml:space="preserve"> et d’</w:t>
      </w:r>
      <w:r w:rsidRPr="00F60B21">
        <w:rPr>
          <w:bCs/>
        </w:rPr>
        <w:t>autonomie</w:t>
      </w:r>
      <w:r w:rsidRPr="00F60B21">
        <w:t xml:space="preserve"> dans la vie de tous les jours est également visée.</w:t>
      </w:r>
      <w:r w:rsidRPr="00F60B21">
        <w:rPr>
          <w:lang w:val="fr-FR"/>
        </w:rPr>
        <w:t xml:space="preserve"> </w:t>
      </w:r>
      <w:r w:rsidRPr="00F60B21">
        <w:t xml:space="preserve">L’ergothérapeute </w:t>
      </w:r>
      <w:r w:rsidRPr="00F60B21">
        <w:rPr>
          <w:bCs/>
        </w:rPr>
        <w:t>évalue</w:t>
      </w:r>
      <w:r w:rsidRPr="00F60B21">
        <w:t xml:space="preserve"> et </w:t>
      </w:r>
      <w:r w:rsidRPr="00F60B21">
        <w:rPr>
          <w:bCs/>
        </w:rPr>
        <w:t>traite</w:t>
      </w:r>
      <w:r w:rsidRPr="00F60B21">
        <w:t xml:space="preserve"> le jeune au travers d’</w:t>
      </w:r>
      <w:r w:rsidRPr="00F60B21">
        <w:rPr>
          <w:bCs/>
        </w:rPr>
        <w:t>activités manuelles</w:t>
      </w:r>
      <w:r w:rsidRPr="00F60B21">
        <w:t xml:space="preserve"> </w:t>
      </w:r>
      <w:proofErr w:type="gramStart"/>
      <w:r w:rsidRPr="00F60B21">
        <w:t>comme par exemple</w:t>
      </w:r>
      <w:proofErr w:type="gramEnd"/>
      <w:r w:rsidRPr="00F60B21">
        <w:t xml:space="preserve"> la poterie, le travail sur bois, la création de bijoux, la mosaïque, la gravure sur verre, la couture mais aussi la cuisine et les jeux de société.</w:t>
      </w:r>
      <w:r w:rsidRPr="00F60B21">
        <w:rPr>
          <w:lang w:val="fr-FR"/>
        </w:rPr>
        <w:t xml:space="preserve"> </w:t>
      </w:r>
      <w:r w:rsidRPr="00F60B21">
        <w:t xml:space="preserve">Avec le soutien de l’adulte, le jeune définit un ou plusieurs </w:t>
      </w:r>
      <w:r w:rsidRPr="00F60B21">
        <w:rPr>
          <w:bCs/>
        </w:rPr>
        <w:t>objectifs</w:t>
      </w:r>
      <w:r w:rsidRPr="00F60B21">
        <w:t xml:space="preserve"> qui vont guider son activité durant les périodes d’ergothérapie et les moyens pour atteindre cet objectif. Ces objectifs correspondent à des prérequis nécessaires à une reprise scolaire ou professionnelle, que ce soit sur le </w:t>
      </w:r>
      <w:r w:rsidRPr="00F60B21">
        <w:rPr>
          <w:bCs/>
        </w:rPr>
        <w:t>plan moteur</w:t>
      </w:r>
      <w:r w:rsidRPr="00F60B21">
        <w:t xml:space="preserve"> (coordination des mouvements, précision, rapidité, …), le </w:t>
      </w:r>
      <w:r w:rsidRPr="00F60B21">
        <w:rPr>
          <w:bCs/>
        </w:rPr>
        <w:t>plan cognitif</w:t>
      </w:r>
      <w:r w:rsidRPr="00F60B21">
        <w:t xml:space="preserve"> (concentration, anticipation, organisation de l’activité, mémoire, …) ou le </w:t>
      </w:r>
      <w:r w:rsidRPr="00F60B21">
        <w:rPr>
          <w:bCs/>
        </w:rPr>
        <w:t>plan socio-affectif</w:t>
      </w:r>
      <w:r w:rsidRPr="00F60B21">
        <w:t xml:space="preserve"> (adéquation des relations avec les autres, respect des règles, gestion des émotions, …). En outre, il ne faut pas oublier qu’indépendamment des objectifs fixés par le jeune, les activités ont en </w:t>
      </w:r>
      <w:proofErr w:type="spellStart"/>
      <w:r w:rsidRPr="00F60B21">
        <w:t>elles-même</w:t>
      </w:r>
      <w:proofErr w:type="spellEnd"/>
      <w:r w:rsidRPr="00F60B21">
        <w:t xml:space="preserve"> des </w:t>
      </w:r>
      <w:r w:rsidRPr="00F60B21">
        <w:rPr>
          <w:bCs/>
        </w:rPr>
        <w:t>propriétés thérapeutiques</w:t>
      </w:r>
      <w:r w:rsidRPr="00F60B21">
        <w:t xml:space="preserve"> qui permettent par exemple au jeune de </w:t>
      </w:r>
      <w:r w:rsidRPr="00F60B21">
        <w:rPr>
          <w:bCs/>
        </w:rPr>
        <w:t>se structurer</w:t>
      </w:r>
      <w:r w:rsidRPr="00F60B21">
        <w:t xml:space="preserve"> dans l’espace et le temps, de développer des </w:t>
      </w:r>
      <w:r w:rsidRPr="00F60B21">
        <w:rPr>
          <w:bCs/>
        </w:rPr>
        <w:t>alternatives</w:t>
      </w:r>
      <w:r w:rsidRPr="00F60B21">
        <w:t xml:space="preserve"> face à une difficulté ou d’augmenter le sentiment de </w:t>
      </w:r>
      <w:r w:rsidRPr="00F60B21">
        <w:rPr>
          <w:bCs/>
        </w:rPr>
        <w:t>valeur personnelle</w:t>
      </w:r>
      <w:r w:rsidRPr="00F60B21">
        <w:t>. Par ailleurs, certaines activités offrent aussi un espace d’</w:t>
      </w:r>
      <w:r w:rsidRPr="00F60B21">
        <w:rPr>
          <w:bCs/>
        </w:rPr>
        <w:t>expression</w:t>
      </w:r>
      <w:r w:rsidRPr="00F60B21">
        <w:t xml:space="preserve"> et de </w:t>
      </w:r>
      <w:r w:rsidRPr="00F60B21">
        <w:rPr>
          <w:bCs/>
        </w:rPr>
        <w:t xml:space="preserve">créativité </w:t>
      </w:r>
      <w:r w:rsidRPr="00F60B21">
        <w:t>où l’</w:t>
      </w:r>
      <w:r w:rsidRPr="00F60B21">
        <w:rPr>
          <w:bCs/>
        </w:rPr>
        <w:t>imaginaire</w:t>
      </w:r>
      <w:r w:rsidRPr="00F60B21">
        <w:t xml:space="preserve"> est sollicité. Au CTJA, l’ergothérapeute anime les ateliers avec un autre membre de l’équipe (éducateur ou infirmière) et travaille en étroite collaboration avec tous les intervenants de l’équipe de soins.</w:t>
      </w:r>
    </w:p>
    <w:p w14:paraId="4A6FDAAB" w14:textId="77777777" w:rsidR="00F60B21" w:rsidRPr="00F60B21" w:rsidRDefault="00F60B21" w:rsidP="0002035E">
      <w:pPr>
        <w:spacing w:after="0"/>
        <w:jc w:val="both"/>
      </w:pPr>
    </w:p>
    <w:p w14:paraId="4024C1C4" w14:textId="1398FA3C" w:rsidR="00F60B21" w:rsidRPr="00F60B21" w:rsidRDefault="00F60B21" w:rsidP="0002035E">
      <w:pPr>
        <w:spacing w:after="0"/>
        <w:jc w:val="both"/>
        <w:rPr>
          <w:bCs/>
        </w:rPr>
      </w:pPr>
      <w:r w:rsidRPr="00F60B21">
        <w:rPr>
          <w:bCs/>
        </w:rPr>
        <w:t xml:space="preserve">Parmi les apports </w:t>
      </w:r>
      <w:proofErr w:type="spellStart"/>
      <w:r w:rsidRPr="00F60B21">
        <w:rPr>
          <w:bCs/>
        </w:rPr>
        <w:t>cognitivo</w:t>
      </w:r>
      <w:proofErr w:type="spellEnd"/>
      <w:r w:rsidRPr="00F60B21">
        <w:rPr>
          <w:bCs/>
        </w:rPr>
        <w:t xml:space="preserve">-comportementaux offerts aux adolescents du CTJA dans le cadre des activités, </w:t>
      </w:r>
      <w:r w:rsidRPr="00F60B21">
        <w:rPr>
          <w:b/>
          <w:bCs/>
        </w:rPr>
        <w:t>l’entraînement aux habiletés sociales</w:t>
      </w:r>
      <w:r w:rsidRPr="00F60B21">
        <w:rPr>
          <w:bCs/>
        </w:rPr>
        <w:t>,</w:t>
      </w:r>
      <w:r w:rsidRPr="00F60B21">
        <w:t xml:space="preserve"> dont le but est d’</w:t>
      </w:r>
      <w:r w:rsidRPr="00F60B21">
        <w:rPr>
          <w:lang w:val="fr-FR"/>
        </w:rPr>
        <w:t xml:space="preserve">aider les adolescents à mieux gérer leurs compétences sociales, spécifiquement au niveau des relations interpersonnelles, comporte plusieurs </w:t>
      </w:r>
      <w:r w:rsidRPr="00F60B21">
        <w:t>principes. L’EHS est en effet une pratique de groupe qui vise une réhabilitation psycho-sociale par le biais de stratégies cognitives et comportementales. Ces dernières visent la compréhension et l’amélioration des difficultés psychologiques et sociales perturbant la vie du patient. L’identification du problème cible par le biais de l’analyse fonctionnelle prend en compte le contexte environnemental et l’</w:t>
      </w:r>
      <w:proofErr w:type="spellStart"/>
      <w:r w:rsidRPr="00F60B21">
        <w:t>auto-observation</w:t>
      </w:r>
      <w:proofErr w:type="spellEnd"/>
      <w:r w:rsidRPr="00F60B21">
        <w:t xml:space="preserve"> des réactions physiologiques, émotionnelles, cognitives et comportementales. L’utilisation et l’imitation d’un modèle (modeling ou apprentissage par observation), du renforcement positif, de la psychoéducation et de la restructuration cognitive, intègre des directives pendant l’exercice, autant de principes incontournables qui favorisent l’amélioration de performances sociales, par la pratique </w:t>
      </w:r>
      <w:proofErr w:type="gramStart"/>
      <w:r w:rsidRPr="00F60B21">
        <w:t>du jeux</w:t>
      </w:r>
      <w:proofErr w:type="gramEnd"/>
      <w:r w:rsidRPr="00F60B21">
        <w:t xml:space="preserve"> de rôle, forme d’exposition comportementale. La généralisation des apprentissages au quotidien est visée, à l’extérieur de l’hôpital, par la distribution et la révision de tâches à domicile. Dans le cadre de l’entraînement aux </w:t>
      </w:r>
      <w:r w:rsidRPr="00F60B21">
        <w:lastRenderedPageBreak/>
        <w:t>habiletés sociales, un module d’affirmation de soi génère une liberté émotionnelle qui aide à communiquer de manière efficiente. Un autre module de résolution de problèmes favorise l’obtention de ressources pour accomplir une tâche, affronter une difficulté liée à une mauvaise réponse de l’environnement. Diverses échelles et évaluations cliniques ont montré l’efficacité de cet atelier notamment au niveau de la gestion de la timidité.</w:t>
      </w:r>
      <w:r w:rsidRPr="00F60B21">
        <w:rPr>
          <w:bCs/>
        </w:rPr>
        <w:t xml:space="preserve"> </w:t>
      </w:r>
      <w:r w:rsidRPr="00F60B21">
        <w:rPr>
          <w:b/>
        </w:rPr>
        <w:t>La relaxation</w:t>
      </w:r>
      <w:r w:rsidRPr="00F60B21">
        <w:t xml:space="preserve"> est une autre </w:t>
      </w:r>
      <w:r w:rsidRPr="00F60B21">
        <w:rPr>
          <w:bCs/>
        </w:rPr>
        <w:t xml:space="preserve">application pratique des stratégies </w:t>
      </w:r>
      <w:proofErr w:type="spellStart"/>
      <w:r w:rsidRPr="00F60B21">
        <w:rPr>
          <w:bCs/>
        </w:rPr>
        <w:t>cognitivo</w:t>
      </w:r>
      <w:proofErr w:type="spellEnd"/>
      <w:r w:rsidRPr="00F60B21">
        <w:rPr>
          <w:bCs/>
        </w:rPr>
        <w:t>-comportementales </w:t>
      </w:r>
      <w:r w:rsidRPr="00F60B21">
        <w:t xml:space="preserve">proposée aux adolescents, en groupe ou en individuel, toujours en tant qu’outil </w:t>
      </w:r>
      <w:proofErr w:type="spellStart"/>
      <w:r w:rsidRPr="00F60B21">
        <w:t>cognitivo</w:t>
      </w:r>
      <w:proofErr w:type="spellEnd"/>
      <w:r w:rsidRPr="00F60B21">
        <w:t xml:space="preserve">-comportemental selon les principes du </w:t>
      </w:r>
      <w:proofErr w:type="spellStart"/>
      <w:r w:rsidRPr="00F60B21">
        <w:rPr>
          <w:i/>
        </w:rPr>
        <w:t>Mindfulness</w:t>
      </w:r>
      <w:proofErr w:type="spellEnd"/>
      <w:r w:rsidRPr="00F60B21">
        <w:t>, des techniques définies par</w:t>
      </w:r>
      <w:r w:rsidRPr="00F60B21">
        <w:rPr>
          <w:i/>
        </w:rPr>
        <w:t xml:space="preserve"> Jakobson</w:t>
      </w:r>
      <w:r w:rsidRPr="00F60B21">
        <w:t xml:space="preserve">, ou encore par la pratique du </w:t>
      </w:r>
      <w:r w:rsidRPr="00F60B21">
        <w:rPr>
          <w:i/>
        </w:rPr>
        <w:t>Body scan.</w:t>
      </w:r>
      <w:r w:rsidRPr="00F60B21">
        <w:t xml:space="preserve"> Ces outils s’intègrent dans des techniques d’expositions aux phobies simples, à l’anxiété sociale, ou encore en tant qu’agent de prévention du stress. </w:t>
      </w:r>
      <w:r w:rsidRPr="00F60B21">
        <w:rPr>
          <w:b/>
          <w:bCs/>
        </w:rPr>
        <w:t>L’atelier de métacognition</w:t>
      </w:r>
      <w:r w:rsidRPr="00F60B21">
        <w:rPr>
          <w:bCs/>
        </w:rPr>
        <w:t xml:space="preserve"> propose un module </w:t>
      </w:r>
      <w:r w:rsidRPr="00F60B21">
        <w:rPr>
          <w:bCs/>
          <w:i/>
        </w:rPr>
        <w:t>d’entraînement cognitif</w:t>
      </w:r>
      <w:r w:rsidRPr="00F60B21">
        <w:rPr>
          <w:bCs/>
        </w:rPr>
        <w:t xml:space="preserve">, dont le but est de mobiliser ou de maintenir les compétences cognitives (mémoire, attention, concentration), la restructuration cognitive s’articule autour des réflexions sur des outils, telles les attributions causales, les sauts aux conclusions, la théorie de l’esprit, la meilleure gestion de la mémoire et de l’humeur, selon les principes du Dr. Moritz. En alternance, cet atelier traite la symptomatologie psychotique </w:t>
      </w:r>
      <w:proofErr w:type="spellStart"/>
      <w:r w:rsidRPr="00F60B21">
        <w:rPr>
          <w:bCs/>
          <w:i/>
        </w:rPr>
        <w:t>Michael’s</w:t>
      </w:r>
      <w:proofErr w:type="spellEnd"/>
      <w:r w:rsidRPr="00F60B21">
        <w:rPr>
          <w:bCs/>
          <w:i/>
        </w:rPr>
        <w:t xml:space="preserve"> Game</w:t>
      </w:r>
      <w:r w:rsidRPr="00F60B21">
        <w:rPr>
          <w:bCs/>
        </w:rPr>
        <w:t xml:space="preserve"> est un jeu thérapeutique sur indication médicale qui consiste en un entraînement au raisonnement hypothétique, spécifiquement conçu dans le traitement de la symptomatologie psychotique. </w:t>
      </w:r>
    </w:p>
    <w:p w14:paraId="5D2A4867" w14:textId="77777777" w:rsidR="00F60B21" w:rsidRPr="00F60B21" w:rsidRDefault="00F60B21" w:rsidP="00F60B21">
      <w:pPr>
        <w:spacing w:after="0"/>
      </w:pPr>
    </w:p>
    <w:p w14:paraId="3A288D35" w14:textId="77777777" w:rsidR="00F60B21" w:rsidRPr="00F60B21" w:rsidRDefault="00F60B21" w:rsidP="00F60B21">
      <w:pPr>
        <w:spacing w:after="0"/>
        <w:rPr>
          <w:b/>
          <w:bCs/>
          <w:u w:val="single"/>
        </w:rPr>
      </w:pPr>
      <w:proofErr w:type="gramStart"/>
      <w:r w:rsidRPr="00F60B21">
        <w:rPr>
          <w:b/>
          <w:bCs/>
          <w:u w:val="single"/>
        </w:rPr>
        <w:t>Forum:</w:t>
      </w:r>
      <w:proofErr w:type="gramEnd"/>
      <w:r w:rsidRPr="00F60B21">
        <w:t xml:space="preserve"> Lieu de discussion libre concernant la vie au CTJA. </w:t>
      </w:r>
    </w:p>
    <w:p w14:paraId="40BDF269" w14:textId="77777777" w:rsidR="00F60B21" w:rsidRPr="00F60B21" w:rsidRDefault="00F60B21" w:rsidP="00F60B21">
      <w:pPr>
        <w:spacing w:after="0"/>
        <w:rPr>
          <w:b/>
          <w:bCs/>
          <w:u w:val="single"/>
        </w:rPr>
      </w:pPr>
    </w:p>
    <w:p w14:paraId="52097CE9" w14:textId="77777777" w:rsidR="00F60B21" w:rsidRPr="00F60B21" w:rsidRDefault="00F60B21" w:rsidP="00F60B21">
      <w:pPr>
        <w:spacing w:after="0"/>
      </w:pPr>
      <w:r w:rsidRPr="00F60B21">
        <w:rPr>
          <w:b/>
          <w:bCs/>
          <w:u w:val="single"/>
        </w:rPr>
        <w:t xml:space="preserve">Jeu </w:t>
      </w:r>
      <w:proofErr w:type="gramStart"/>
      <w:r w:rsidRPr="00F60B21">
        <w:rPr>
          <w:b/>
          <w:bCs/>
          <w:u w:val="single"/>
        </w:rPr>
        <w:t>dramatique:</w:t>
      </w:r>
      <w:proofErr w:type="gramEnd"/>
      <w:r w:rsidRPr="00F60B21">
        <w:t xml:space="preserve"> Psychothérapie de groupe consistant en une mise en scène de situations passées, réelles ou fictives qui vont permettre à l’adolescent, par le biais de scénarios improvisés et joués par lui-même et le groupe, une libération émotionnelle (catharsis).</w:t>
      </w:r>
    </w:p>
    <w:p w14:paraId="5109DD85" w14:textId="77777777" w:rsidR="00F60B21" w:rsidRPr="00F60B21" w:rsidRDefault="00F60B21" w:rsidP="00F60B21">
      <w:pPr>
        <w:spacing w:after="0"/>
      </w:pPr>
    </w:p>
    <w:p w14:paraId="02842038" w14:textId="77777777" w:rsidR="00F60B21" w:rsidRPr="00F60B21" w:rsidRDefault="00F60B21" w:rsidP="00F60B21">
      <w:pPr>
        <w:spacing w:after="0"/>
      </w:pPr>
      <w:proofErr w:type="gramStart"/>
      <w:r w:rsidRPr="00F60B21">
        <w:rPr>
          <w:b/>
          <w:bCs/>
          <w:u w:val="single"/>
        </w:rPr>
        <w:t>Prévention:</w:t>
      </w:r>
      <w:proofErr w:type="gramEnd"/>
      <w:r w:rsidRPr="00F60B21">
        <w:t xml:space="preserve"> Informer et débattre autour de sujets de santé et des risques en lien avec l’adolescence et la psychopathologie. </w:t>
      </w:r>
    </w:p>
    <w:p w14:paraId="21D4C336" w14:textId="77777777" w:rsidR="00F60B21" w:rsidRPr="00F60B21" w:rsidRDefault="00F60B21" w:rsidP="00F60B21">
      <w:pPr>
        <w:spacing w:after="0"/>
      </w:pPr>
    </w:p>
    <w:p w14:paraId="7A51B14D" w14:textId="77777777" w:rsidR="00F60B21" w:rsidRPr="00F60B21" w:rsidRDefault="00F60B21" w:rsidP="00F60B21">
      <w:pPr>
        <w:spacing w:after="0"/>
      </w:pPr>
      <w:proofErr w:type="gramStart"/>
      <w:r w:rsidRPr="00F60B21">
        <w:rPr>
          <w:b/>
          <w:bCs/>
          <w:u w:val="single"/>
        </w:rPr>
        <w:t>Sport:</w:t>
      </w:r>
      <w:proofErr w:type="gramEnd"/>
      <w:r w:rsidRPr="00F60B21">
        <w:t xml:space="preserve"> Développer l’activité physique chez le jeune tout en ayant du plaisir.</w:t>
      </w:r>
    </w:p>
    <w:p w14:paraId="2B0BE124" w14:textId="77777777" w:rsidR="00F60B21" w:rsidRPr="00F60B21" w:rsidRDefault="00F60B21" w:rsidP="00F60B21">
      <w:pPr>
        <w:spacing w:after="0"/>
      </w:pPr>
    </w:p>
    <w:p w14:paraId="507D6E87" w14:textId="01C8F9D3" w:rsidR="00C43F8E" w:rsidRPr="00C43F8E" w:rsidRDefault="00F60B21" w:rsidP="00F60B21">
      <w:pPr>
        <w:spacing w:after="0"/>
      </w:pPr>
      <w:r w:rsidRPr="00F60B21">
        <w:rPr>
          <w:b/>
          <w:bCs/>
          <w:u w:val="single"/>
        </w:rPr>
        <w:t xml:space="preserve">Temps </w:t>
      </w:r>
      <w:proofErr w:type="gramStart"/>
      <w:r w:rsidRPr="00F60B21">
        <w:rPr>
          <w:b/>
          <w:bCs/>
          <w:u w:val="single"/>
        </w:rPr>
        <w:t>libre:</w:t>
      </w:r>
      <w:proofErr w:type="gramEnd"/>
      <w:r w:rsidRPr="00F60B21">
        <w:t xml:space="preserve"> Permet aux jeunes de s’organiser en choisissant une activité de manière autonome.</w:t>
      </w:r>
    </w:p>
    <w:p w14:paraId="17E0AC54" w14:textId="2E536A5A" w:rsidR="002E4DAF" w:rsidRDefault="002E4DAF" w:rsidP="00FE470A">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FE470A" w14:paraId="120FC141" w14:textId="77777777" w:rsidTr="00BE075F">
        <w:tc>
          <w:tcPr>
            <w:tcW w:w="9062" w:type="dxa"/>
            <w:shd w:val="clear" w:color="auto" w:fill="D9D9D9" w:themeFill="background1" w:themeFillShade="D9"/>
          </w:tcPr>
          <w:p w14:paraId="381829FE" w14:textId="727B4DEF" w:rsidR="00FE470A" w:rsidRPr="005719EE" w:rsidRDefault="00FE470A" w:rsidP="00BE075F">
            <w:pPr>
              <w:rPr>
                <w:b/>
                <w:bCs/>
              </w:rPr>
            </w:pPr>
            <w:r>
              <w:rPr>
                <w:b/>
                <w:bCs/>
              </w:rPr>
              <w:t>3. Organisation du service :</w:t>
            </w:r>
          </w:p>
        </w:tc>
      </w:tr>
    </w:tbl>
    <w:p w14:paraId="644D6CE6" w14:textId="6264DA96" w:rsidR="00FE470A" w:rsidRDefault="00FE470A" w:rsidP="00F60B21">
      <w:pPr>
        <w:jc w:val="both"/>
        <w:rPr>
          <w:rFonts w:ascii="Arial" w:hAnsi="Arial" w:cs="Arial"/>
          <w:bCs/>
          <w:color w:val="444444"/>
          <w:sz w:val="20"/>
          <w:szCs w:val="20"/>
          <w:shd w:val="clear" w:color="auto" w:fill="FFFFFF"/>
        </w:rPr>
      </w:pPr>
      <w:r>
        <w:t xml:space="preserve">Localisation géographie : </w:t>
      </w:r>
      <w:r w:rsidR="00F60B21" w:rsidRPr="00F60B21">
        <w:rPr>
          <w:rFonts w:ascii="Arial" w:hAnsi="Arial" w:cs="Arial"/>
          <w:bCs/>
          <w:color w:val="444444"/>
          <w:sz w:val="20"/>
          <w:szCs w:val="20"/>
          <w:shd w:val="clear" w:color="auto" w:fill="FFFFFF"/>
        </w:rPr>
        <w:t>Proche du CHUV, derrière l’usine de Pierre de Plan, au sein du quartier de la pouponnière l’abri, dans le bâtiment de l’UMSA</w:t>
      </w:r>
    </w:p>
    <w:p w14:paraId="6E4B306F" w14:textId="64E040CA" w:rsidR="00FE470A" w:rsidRDefault="00FE470A" w:rsidP="00FE470A">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FE470A" w14:paraId="262902D3" w14:textId="77777777" w:rsidTr="00BE075F">
        <w:tc>
          <w:tcPr>
            <w:tcW w:w="9062" w:type="dxa"/>
            <w:shd w:val="clear" w:color="auto" w:fill="D9D9D9" w:themeFill="background1" w:themeFillShade="D9"/>
          </w:tcPr>
          <w:p w14:paraId="30541EA9" w14:textId="70C1DED4" w:rsidR="00FE470A" w:rsidRPr="005719EE" w:rsidRDefault="00FE470A" w:rsidP="00BE075F">
            <w:pPr>
              <w:rPr>
                <w:b/>
                <w:bCs/>
              </w:rPr>
            </w:pPr>
            <w:r>
              <w:rPr>
                <w:b/>
                <w:bCs/>
              </w:rPr>
              <w:t>4. Pédagogie :</w:t>
            </w:r>
          </w:p>
        </w:tc>
      </w:tr>
    </w:tbl>
    <w:p w14:paraId="53ADC0D5" w14:textId="77777777" w:rsidR="00C43F8E" w:rsidRDefault="00C43F8E" w:rsidP="00C43F8E">
      <w:pPr>
        <w:pStyle w:val="Paragraphedeliste"/>
        <w:numPr>
          <w:ilvl w:val="0"/>
          <w:numId w:val="5"/>
        </w:numPr>
        <w:spacing w:after="0"/>
      </w:pPr>
      <w:r>
        <w:t xml:space="preserve">Intégration aux colloques interdisciplinaires, synthèses et plans de traitement – </w:t>
      </w:r>
    </w:p>
    <w:p w14:paraId="4BCB86F1" w14:textId="77777777" w:rsidR="00C43F8E" w:rsidRDefault="00C43F8E" w:rsidP="00C43F8E">
      <w:pPr>
        <w:pStyle w:val="Paragraphedeliste"/>
        <w:numPr>
          <w:ilvl w:val="0"/>
          <w:numId w:val="5"/>
        </w:numPr>
        <w:spacing w:after="0"/>
      </w:pPr>
      <w:r>
        <w:t>Participation aux entretiens cliniques selon les références.</w:t>
      </w:r>
    </w:p>
    <w:p w14:paraId="5A04A40A" w14:textId="77777777" w:rsidR="00C43F8E" w:rsidRDefault="00C43F8E" w:rsidP="00C43F8E">
      <w:pPr>
        <w:pStyle w:val="Paragraphedeliste"/>
        <w:numPr>
          <w:ilvl w:val="0"/>
          <w:numId w:val="5"/>
        </w:numPr>
        <w:spacing w:after="0"/>
      </w:pPr>
      <w:r>
        <w:t>Participation (selon calendrier) aux conférences et présentations internes et externes au SUPEA</w:t>
      </w:r>
    </w:p>
    <w:p w14:paraId="19B63601" w14:textId="7F160153" w:rsidR="00FE470A" w:rsidRDefault="00C43F8E" w:rsidP="00C43F8E">
      <w:pPr>
        <w:pStyle w:val="Paragraphedeliste"/>
        <w:numPr>
          <w:ilvl w:val="0"/>
          <w:numId w:val="5"/>
        </w:numPr>
        <w:spacing w:after="0"/>
      </w:pPr>
      <w:r>
        <w:t>Participation aux séances de supervision de certaines activités de médiation thérapeutique</w:t>
      </w:r>
    </w:p>
    <w:p w14:paraId="59A029CC" w14:textId="7070633A" w:rsidR="00D3294E" w:rsidRDefault="00D3294E">
      <w:r>
        <w:br w:type="page"/>
      </w:r>
    </w:p>
    <w:p w14:paraId="0A227182" w14:textId="588E5E08" w:rsidR="00FE470A" w:rsidRDefault="00FE470A" w:rsidP="00FE470A">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FE470A" w14:paraId="4979E95D" w14:textId="77777777" w:rsidTr="00BE075F">
        <w:tc>
          <w:tcPr>
            <w:tcW w:w="9062" w:type="dxa"/>
            <w:shd w:val="clear" w:color="auto" w:fill="D9D9D9" w:themeFill="background1" w:themeFillShade="D9"/>
          </w:tcPr>
          <w:p w14:paraId="60F8F272" w14:textId="5C2FEA53" w:rsidR="00FE470A" w:rsidRPr="005719EE" w:rsidRDefault="00FE470A" w:rsidP="00BE075F">
            <w:pPr>
              <w:rPr>
                <w:b/>
                <w:bCs/>
              </w:rPr>
            </w:pPr>
            <w:r>
              <w:rPr>
                <w:b/>
                <w:bCs/>
              </w:rPr>
              <w:t xml:space="preserve">5. </w:t>
            </w:r>
            <w:r w:rsidR="00D3294E">
              <w:rPr>
                <w:b/>
                <w:bCs/>
              </w:rPr>
              <w:t>Patientèle</w:t>
            </w:r>
            <w:r>
              <w:rPr>
                <w:b/>
                <w:bCs/>
              </w:rPr>
              <w:t> :</w:t>
            </w:r>
          </w:p>
        </w:tc>
      </w:tr>
    </w:tbl>
    <w:p w14:paraId="61282B7C" w14:textId="77777777" w:rsidR="00F60B21" w:rsidRPr="00F60B21" w:rsidRDefault="00F60B21" w:rsidP="00F60B21">
      <w:pPr>
        <w:spacing w:after="0"/>
        <w:jc w:val="both"/>
        <w:rPr>
          <w:lang w:val="fr-FR"/>
        </w:rPr>
      </w:pPr>
      <w:r w:rsidRPr="00F60B21">
        <w:rPr>
          <w:lang w:val="fr-FR"/>
        </w:rPr>
        <w:t xml:space="preserve">Les adolescents accueillis au CTJA proviennent principalement du secteur Centre PECH (agglomération Lausannoise), mais peuvent également venir orientés par les autres secteurs du Canton de Vaud. Tous ont une indication médicale, les demandes se font par le biais des thérapeutes installés (médecins, psychologues), par les consultations ambulatoires, par le réseau médico-pédagogique. </w:t>
      </w:r>
    </w:p>
    <w:p w14:paraId="03A2CAA6" w14:textId="20110066" w:rsidR="00D3294E" w:rsidRDefault="00F60B21" w:rsidP="00D3294E">
      <w:pPr>
        <w:spacing w:after="0"/>
      </w:pPr>
      <w:r>
        <w:t xml:space="preserve">Ils </w:t>
      </w:r>
      <w:r w:rsidR="00D3294E">
        <w:t xml:space="preserve">présentent les pathologies suivantes : </w:t>
      </w:r>
    </w:p>
    <w:p w14:paraId="12706D29" w14:textId="77777777" w:rsidR="00F60B21" w:rsidRDefault="00F60B21" w:rsidP="00F60B21">
      <w:pPr>
        <w:pStyle w:val="Paragraphedeliste"/>
        <w:numPr>
          <w:ilvl w:val="0"/>
          <w:numId w:val="10"/>
        </w:numPr>
        <w:spacing w:after="0"/>
      </w:pPr>
      <w:r>
        <w:t>Dépressions.</w:t>
      </w:r>
    </w:p>
    <w:p w14:paraId="7E1869E0" w14:textId="5BE9C895" w:rsidR="00F60B21" w:rsidRDefault="00F60B21" w:rsidP="00F60B21">
      <w:pPr>
        <w:pStyle w:val="Paragraphedeliste"/>
        <w:numPr>
          <w:ilvl w:val="0"/>
          <w:numId w:val="10"/>
        </w:numPr>
        <w:spacing w:after="0"/>
      </w:pPr>
      <w:r>
        <w:t>Phobies scolaires, ruptures scolaires, refus scolaires.</w:t>
      </w:r>
    </w:p>
    <w:p w14:paraId="09A2A81F" w14:textId="24564B65" w:rsidR="00F60B21" w:rsidRDefault="00F60B21" w:rsidP="00F60B21">
      <w:pPr>
        <w:pStyle w:val="Paragraphedeliste"/>
        <w:numPr>
          <w:ilvl w:val="0"/>
          <w:numId w:val="10"/>
        </w:numPr>
        <w:spacing w:after="0"/>
      </w:pPr>
      <w:r>
        <w:t>Troubles du comportement alimentaire.</w:t>
      </w:r>
    </w:p>
    <w:p w14:paraId="4018568C" w14:textId="4D8045D4" w:rsidR="00F60B21" w:rsidRDefault="00F60B21" w:rsidP="00F60B21">
      <w:pPr>
        <w:pStyle w:val="Paragraphedeliste"/>
        <w:numPr>
          <w:ilvl w:val="0"/>
          <w:numId w:val="10"/>
        </w:numPr>
        <w:spacing w:after="0"/>
      </w:pPr>
      <w:r>
        <w:t>Psychoses débutantes.</w:t>
      </w:r>
    </w:p>
    <w:p w14:paraId="00BD15ED" w14:textId="22168F61" w:rsidR="00F60B21" w:rsidRDefault="00F60B21" w:rsidP="00F60B21">
      <w:pPr>
        <w:pStyle w:val="Paragraphedeliste"/>
        <w:numPr>
          <w:ilvl w:val="0"/>
          <w:numId w:val="10"/>
        </w:numPr>
        <w:spacing w:after="0"/>
      </w:pPr>
      <w:r>
        <w:t>Troubles envahissants du développement.</w:t>
      </w:r>
    </w:p>
    <w:p w14:paraId="70FEC923" w14:textId="1CF05DA0" w:rsidR="00F60B21" w:rsidRDefault="00F60B21" w:rsidP="00F60B21">
      <w:pPr>
        <w:pStyle w:val="Paragraphedeliste"/>
        <w:numPr>
          <w:ilvl w:val="0"/>
          <w:numId w:val="10"/>
        </w:numPr>
        <w:spacing w:after="0"/>
      </w:pPr>
      <w:r>
        <w:t>Troubles de l’humeur.</w:t>
      </w:r>
    </w:p>
    <w:p w14:paraId="79772BB7" w14:textId="7DF070CA" w:rsidR="00F60B21" w:rsidRDefault="00F60B21" w:rsidP="00F60B21">
      <w:pPr>
        <w:pStyle w:val="Paragraphedeliste"/>
        <w:numPr>
          <w:ilvl w:val="0"/>
          <w:numId w:val="10"/>
        </w:numPr>
        <w:spacing w:after="0"/>
      </w:pPr>
      <w:r>
        <w:t>Troubles du comportement.</w:t>
      </w:r>
    </w:p>
    <w:p w14:paraId="6BD4F55A" w14:textId="5940FC72" w:rsidR="00F60B21" w:rsidRDefault="00F60B21" w:rsidP="00F60B21">
      <w:pPr>
        <w:pStyle w:val="Paragraphedeliste"/>
        <w:numPr>
          <w:ilvl w:val="0"/>
          <w:numId w:val="10"/>
        </w:numPr>
        <w:spacing w:after="0"/>
      </w:pPr>
      <w:r>
        <w:t>Troubles de la personnalité (personnalité borderline).</w:t>
      </w:r>
    </w:p>
    <w:p w14:paraId="63D570DC" w14:textId="6AAC152A" w:rsidR="00F60B21" w:rsidRDefault="00F60B21" w:rsidP="00F60B21">
      <w:pPr>
        <w:pStyle w:val="Paragraphedeliste"/>
        <w:numPr>
          <w:ilvl w:val="0"/>
          <w:numId w:val="10"/>
        </w:numPr>
        <w:spacing w:after="0"/>
      </w:pPr>
      <w:r>
        <w:t xml:space="preserve">Troubles de conversion. </w:t>
      </w:r>
    </w:p>
    <w:p w14:paraId="0E5788CF" w14:textId="434291AD" w:rsidR="00F60B21" w:rsidRDefault="00F60B21" w:rsidP="00F60B21">
      <w:pPr>
        <w:pStyle w:val="Paragraphedeliste"/>
        <w:numPr>
          <w:ilvl w:val="0"/>
          <w:numId w:val="10"/>
        </w:numPr>
        <w:spacing w:after="0"/>
      </w:pPr>
      <w:r>
        <w:t xml:space="preserve">Troubles anxieux. </w:t>
      </w:r>
    </w:p>
    <w:p w14:paraId="4F281B5B" w14:textId="777C3636" w:rsidR="00F60B21" w:rsidRDefault="00F60B21" w:rsidP="00F60B21">
      <w:pPr>
        <w:pStyle w:val="Paragraphedeliste"/>
        <w:numPr>
          <w:ilvl w:val="0"/>
          <w:numId w:val="10"/>
        </w:numPr>
        <w:spacing w:after="0"/>
      </w:pPr>
      <w:r>
        <w:t>Difficultés identitaires.</w:t>
      </w:r>
    </w:p>
    <w:p w14:paraId="36411BE8" w14:textId="5FB5A147" w:rsidR="00D3294E" w:rsidRDefault="00F60B21" w:rsidP="00F60B21">
      <w:pPr>
        <w:pStyle w:val="Paragraphedeliste"/>
        <w:numPr>
          <w:ilvl w:val="0"/>
          <w:numId w:val="10"/>
        </w:numPr>
        <w:spacing w:after="0"/>
      </w:pPr>
      <w:r>
        <w:t>Autres pathologies de l’adolescence (dépendances).</w:t>
      </w:r>
    </w:p>
    <w:p w14:paraId="6F77273A" w14:textId="77777777" w:rsidR="00C43F8E" w:rsidRDefault="00C43F8E" w:rsidP="00C43F8E">
      <w:pPr>
        <w:pStyle w:val="Paragraphedeliste"/>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62"/>
      </w:tblGrid>
      <w:tr w:rsidR="00FE470A" w14:paraId="44231B15" w14:textId="77777777" w:rsidTr="00BE075F">
        <w:tc>
          <w:tcPr>
            <w:tcW w:w="9062" w:type="dxa"/>
            <w:shd w:val="clear" w:color="auto" w:fill="D9D9D9" w:themeFill="background1" w:themeFillShade="D9"/>
          </w:tcPr>
          <w:p w14:paraId="45F431B1" w14:textId="15AE8D5D" w:rsidR="00FE470A" w:rsidRPr="005719EE" w:rsidRDefault="00FE470A" w:rsidP="00BE075F">
            <w:pPr>
              <w:rPr>
                <w:b/>
                <w:bCs/>
              </w:rPr>
            </w:pPr>
            <w:r>
              <w:rPr>
                <w:b/>
                <w:bCs/>
              </w:rPr>
              <w:t>6. Informations complémentaires :</w:t>
            </w:r>
          </w:p>
        </w:tc>
      </w:tr>
    </w:tbl>
    <w:p w14:paraId="348869CA" w14:textId="7CD3782B" w:rsidR="00D3294E" w:rsidRDefault="00D3294E" w:rsidP="00D3294E">
      <w:r w:rsidRPr="0002035E">
        <w:rPr>
          <w:b/>
          <w:bCs/>
        </w:rPr>
        <w:t>Repas</w:t>
      </w:r>
      <w:r>
        <w:t> :</w:t>
      </w:r>
      <w:r w:rsidR="0002035E">
        <w:t xml:space="preserve"> Repas en ville ou prévoir un pique-nique</w:t>
      </w:r>
    </w:p>
    <w:p w14:paraId="25481847" w14:textId="237B21B2" w:rsidR="00D3294E" w:rsidRPr="00D3294E" w:rsidRDefault="00D3294E" w:rsidP="00D3294E">
      <w:r w:rsidRPr="00D3294E">
        <w:rPr>
          <w:b/>
          <w:bCs/>
        </w:rPr>
        <w:t>Blouses</w:t>
      </w:r>
      <w:r>
        <w:t xml:space="preserve"> : </w:t>
      </w:r>
      <w:r w:rsidR="001D7372">
        <w:t>Tenue civile correcte exigée</w:t>
      </w:r>
    </w:p>
    <w:p w14:paraId="40812B3D" w14:textId="77777777" w:rsidR="00F60B21" w:rsidRPr="00F60B21" w:rsidRDefault="00D3294E" w:rsidP="00F60B21">
      <w:r w:rsidRPr="00D3294E">
        <w:rPr>
          <w:b/>
          <w:bCs/>
        </w:rPr>
        <w:t>Transports</w:t>
      </w:r>
      <w:r>
        <w:t xml:space="preserve"> </w:t>
      </w:r>
      <w:r w:rsidRPr="00D3294E">
        <w:rPr>
          <w:b/>
          <w:bCs/>
        </w:rPr>
        <w:t>publics</w:t>
      </w:r>
      <w:r>
        <w:t xml:space="preserve"> : </w:t>
      </w:r>
      <w:r w:rsidR="00F60B21" w:rsidRPr="00F60B21">
        <w:t>Proximité du M2 ou du bus TL no. 6</w:t>
      </w:r>
    </w:p>
    <w:p w14:paraId="351030DC" w14:textId="36649535" w:rsidR="00C43F8E" w:rsidRPr="00C43F8E" w:rsidRDefault="00C43F8E" w:rsidP="00F60B21"/>
    <w:p w14:paraId="3963FA55" w14:textId="492F2FA1" w:rsidR="00D3294E" w:rsidRDefault="00D3294E" w:rsidP="00D3294E"/>
    <w:p w14:paraId="287F6D66" w14:textId="704F415F" w:rsidR="00FE470A" w:rsidRDefault="00FE470A" w:rsidP="00FE470A">
      <w:pPr>
        <w:spacing w:after="0"/>
      </w:pPr>
    </w:p>
    <w:tbl>
      <w:tblPr>
        <w:tblStyle w:val="Grilledutableau"/>
        <w:tblW w:w="0" w:type="auto"/>
        <w:tblLook w:val="04A0" w:firstRow="1" w:lastRow="0" w:firstColumn="1" w:lastColumn="0" w:noHBand="0" w:noVBand="1"/>
      </w:tblPr>
      <w:tblGrid>
        <w:gridCol w:w="1812"/>
        <w:gridCol w:w="1812"/>
        <w:gridCol w:w="1812"/>
        <w:gridCol w:w="1813"/>
        <w:gridCol w:w="1813"/>
      </w:tblGrid>
      <w:tr w:rsidR="00FE470A" w:rsidRPr="00D3294E" w14:paraId="5A81CCAA" w14:textId="77777777" w:rsidTr="00FE470A">
        <w:tc>
          <w:tcPr>
            <w:tcW w:w="1812" w:type="dxa"/>
          </w:tcPr>
          <w:p w14:paraId="3EA16DA4" w14:textId="278E4F54" w:rsidR="00FE470A" w:rsidRPr="00D3294E" w:rsidRDefault="00FE470A" w:rsidP="00FE470A">
            <w:pPr>
              <w:rPr>
                <w:b/>
                <w:bCs/>
              </w:rPr>
            </w:pPr>
            <w:r w:rsidRPr="00D3294E">
              <w:rPr>
                <w:b/>
                <w:bCs/>
              </w:rPr>
              <w:t>Date</w:t>
            </w:r>
          </w:p>
        </w:tc>
        <w:tc>
          <w:tcPr>
            <w:tcW w:w="1812" w:type="dxa"/>
          </w:tcPr>
          <w:p w14:paraId="51F7EF30" w14:textId="55CDA564" w:rsidR="00FE470A" w:rsidRPr="00D3294E" w:rsidRDefault="00FE470A" w:rsidP="00FE470A">
            <w:pPr>
              <w:rPr>
                <w:b/>
                <w:bCs/>
              </w:rPr>
            </w:pPr>
            <w:r w:rsidRPr="00D3294E">
              <w:rPr>
                <w:b/>
                <w:bCs/>
              </w:rPr>
              <w:t>Version</w:t>
            </w:r>
          </w:p>
        </w:tc>
        <w:tc>
          <w:tcPr>
            <w:tcW w:w="1812" w:type="dxa"/>
          </w:tcPr>
          <w:p w14:paraId="2F9FF0A3" w14:textId="10E9FBBC" w:rsidR="00FE470A" w:rsidRPr="00D3294E" w:rsidRDefault="00FE470A" w:rsidP="00FE470A">
            <w:pPr>
              <w:rPr>
                <w:b/>
                <w:bCs/>
              </w:rPr>
            </w:pPr>
            <w:r w:rsidRPr="00D3294E">
              <w:rPr>
                <w:b/>
                <w:bCs/>
              </w:rPr>
              <w:t>Rédaction</w:t>
            </w:r>
          </w:p>
        </w:tc>
        <w:tc>
          <w:tcPr>
            <w:tcW w:w="1813" w:type="dxa"/>
          </w:tcPr>
          <w:p w14:paraId="25DF5BC8" w14:textId="496B2EDC" w:rsidR="00FE470A" w:rsidRPr="00D3294E" w:rsidRDefault="00FE470A" w:rsidP="00FE470A">
            <w:pPr>
              <w:rPr>
                <w:b/>
                <w:bCs/>
              </w:rPr>
            </w:pPr>
            <w:r w:rsidRPr="00D3294E">
              <w:rPr>
                <w:b/>
                <w:bCs/>
              </w:rPr>
              <w:t>Validation</w:t>
            </w:r>
          </w:p>
        </w:tc>
        <w:tc>
          <w:tcPr>
            <w:tcW w:w="1813" w:type="dxa"/>
          </w:tcPr>
          <w:p w14:paraId="04D0D4D6" w14:textId="61523FF0" w:rsidR="00FE470A" w:rsidRPr="00D3294E" w:rsidRDefault="00FE470A" w:rsidP="00FE470A">
            <w:pPr>
              <w:rPr>
                <w:b/>
                <w:bCs/>
              </w:rPr>
            </w:pPr>
            <w:r w:rsidRPr="00D3294E">
              <w:rPr>
                <w:b/>
                <w:bCs/>
              </w:rPr>
              <w:t>Classement</w:t>
            </w:r>
          </w:p>
        </w:tc>
      </w:tr>
      <w:tr w:rsidR="00FE470A" w14:paraId="3DCFB5D2" w14:textId="77777777" w:rsidTr="00FE470A">
        <w:tc>
          <w:tcPr>
            <w:tcW w:w="1812" w:type="dxa"/>
          </w:tcPr>
          <w:p w14:paraId="40957511" w14:textId="20C4F11E" w:rsidR="00FE470A" w:rsidRDefault="00FE470A" w:rsidP="00FE470A">
            <w:r>
              <w:t>04.05.2023</w:t>
            </w:r>
          </w:p>
        </w:tc>
        <w:tc>
          <w:tcPr>
            <w:tcW w:w="1812" w:type="dxa"/>
          </w:tcPr>
          <w:p w14:paraId="40B8E8D0" w14:textId="2B3121CA" w:rsidR="00FE470A" w:rsidRDefault="00FE470A" w:rsidP="00FE470A">
            <w:r>
              <w:t>1.2023</w:t>
            </w:r>
          </w:p>
        </w:tc>
        <w:tc>
          <w:tcPr>
            <w:tcW w:w="1812" w:type="dxa"/>
          </w:tcPr>
          <w:p w14:paraId="10C85306" w14:textId="360B447F" w:rsidR="00FE470A" w:rsidRDefault="00FE470A" w:rsidP="00FE470A">
            <w:r>
              <w:t>V. Jaquet</w:t>
            </w:r>
          </w:p>
        </w:tc>
        <w:tc>
          <w:tcPr>
            <w:tcW w:w="1813" w:type="dxa"/>
          </w:tcPr>
          <w:p w14:paraId="7025D063" w14:textId="41A4929D" w:rsidR="00FE470A" w:rsidRDefault="00FE470A" w:rsidP="00FE470A">
            <w:r>
              <w:t>D. Drozdek</w:t>
            </w:r>
          </w:p>
        </w:tc>
        <w:tc>
          <w:tcPr>
            <w:tcW w:w="1813" w:type="dxa"/>
          </w:tcPr>
          <w:p w14:paraId="75B8638B" w14:textId="31DC36B4" w:rsidR="00FE470A" w:rsidRDefault="0002035E" w:rsidP="00FE470A">
            <w:hyperlink r:id="rId7" w:history="1">
              <w:r w:rsidR="00FE470A" w:rsidRPr="00FE470A">
                <w:rPr>
                  <w:rStyle w:val="Lienhypertexte"/>
                </w:rPr>
                <w:t>DP/Coordination</w:t>
              </w:r>
            </w:hyperlink>
          </w:p>
        </w:tc>
      </w:tr>
    </w:tbl>
    <w:p w14:paraId="021585BF" w14:textId="0B7AB1C8" w:rsidR="00FE470A" w:rsidRDefault="00FE470A" w:rsidP="00FE470A">
      <w:pPr>
        <w:spacing w:after="0"/>
      </w:pPr>
    </w:p>
    <w:sectPr w:rsidR="00FE47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269"/>
    <w:multiLevelType w:val="multilevel"/>
    <w:tmpl w:val="A00C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53D2D"/>
    <w:multiLevelType w:val="hybridMultilevel"/>
    <w:tmpl w:val="392CC5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61B50AE"/>
    <w:multiLevelType w:val="multilevel"/>
    <w:tmpl w:val="D2F4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765AC"/>
    <w:multiLevelType w:val="hybridMultilevel"/>
    <w:tmpl w:val="9DCC32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F06121B"/>
    <w:multiLevelType w:val="multilevel"/>
    <w:tmpl w:val="9962E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990A98"/>
    <w:multiLevelType w:val="hybridMultilevel"/>
    <w:tmpl w:val="38E65DA8"/>
    <w:lvl w:ilvl="0" w:tplc="10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8E1D2A"/>
    <w:multiLevelType w:val="hybridMultilevel"/>
    <w:tmpl w:val="037062F8"/>
    <w:lvl w:ilvl="0" w:tplc="4F5CD80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05642DB"/>
    <w:multiLevelType w:val="multilevel"/>
    <w:tmpl w:val="253C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F045A"/>
    <w:multiLevelType w:val="hybridMultilevel"/>
    <w:tmpl w:val="0CB00E9A"/>
    <w:lvl w:ilvl="0" w:tplc="4F5CD8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814D44"/>
    <w:multiLevelType w:val="hybridMultilevel"/>
    <w:tmpl w:val="2266F79E"/>
    <w:lvl w:ilvl="0" w:tplc="4F5CD80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41334273">
    <w:abstractNumId w:val="0"/>
  </w:num>
  <w:num w:numId="2" w16cid:durableId="627007232">
    <w:abstractNumId w:val="4"/>
  </w:num>
  <w:num w:numId="3" w16cid:durableId="1767731707">
    <w:abstractNumId w:val="2"/>
  </w:num>
  <w:num w:numId="4" w16cid:durableId="1810632733">
    <w:abstractNumId w:val="7"/>
  </w:num>
  <w:num w:numId="5" w16cid:durableId="1178468468">
    <w:abstractNumId w:val="1"/>
  </w:num>
  <w:num w:numId="6" w16cid:durableId="1720936315">
    <w:abstractNumId w:val="3"/>
  </w:num>
  <w:num w:numId="7" w16cid:durableId="1416590060">
    <w:abstractNumId w:val="9"/>
  </w:num>
  <w:num w:numId="8" w16cid:durableId="1846362611">
    <w:abstractNumId w:val="6"/>
  </w:num>
  <w:num w:numId="9" w16cid:durableId="450979709">
    <w:abstractNumId w:val="8"/>
  </w:num>
  <w:num w:numId="10" w16cid:durableId="151609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EE"/>
    <w:rsid w:val="0002035E"/>
    <w:rsid w:val="001D7372"/>
    <w:rsid w:val="00297636"/>
    <w:rsid w:val="002E4DAF"/>
    <w:rsid w:val="00521301"/>
    <w:rsid w:val="005719EE"/>
    <w:rsid w:val="006C0935"/>
    <w:rsid w:val="0083737A"/>
    <w:rsid w:val="00A6059A"/>
    <w:rsid w:val="00A61DE4"/>
    <w:rsid w:val="00C43F8E"/>
    <w:rsid w:val="00D3294E"/>
    <w:rsid w:val="00F60B21"/>
    <w:rsid w:val="00FE47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8EF2"/>
  <w15:chartTrackingRefBased/>
  <w15:docId w15:val="{1A03986D-1078-4049-AF81-DB8D452F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E4DAF"/>
    <w:rPr>
      <w:color w:val="0000FF"/>
      <w:u w:val="single"/>
    </w:rPr>
  </w:style>
  <w:style w:type="character" w:styleId="Mentionnonrsolue">
    <w:name w:val="Unresolved Mention"/>
    <w:basedOn w:val="Policepardfaut"/>
    <w:uiPriority w:val="99"/>
    <w:semiHidden/>
    <w:unhideWhenUsed/>
    <w:rsid w:val="00FE470A"/>
    <w:rPr>
      <w:color w:val="605E5C"/>
      <w:shd w:val="clear" w:color="auto" w:fill="E1DFDD"/>
    </w:rPr>
  </w:style>
  <w:style w:type="paragraph" w:styleId="Textebrut">
    <w:name w:val="Plain Text"/>
    <w:basedOn w:val="Normal"/>
    <w:link w:val="TextebrutCar"/>
    <w:uiPriority w:val="99"/>
    <w:semiHidden/>
    <w:unhideWhenUsed/>
    <w:rsid w:val="00D3294E"/>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D3294E"/>
    <w:rPr>
      <w:rFonts w:ascii="Consolas" w:hAnsi="Consolas"/>
      <w:sz w:val="21"/>
      <w:szCs w:val="21"/>
    </w:rPr>
  </w:style>
  <w:style w:type="paragraph" w:styleId="Paragraphedeliste">
    <w:name w:val="List Paragraph"/>
    <w:basedOn w:val="Normal"/>
    <w:uiPriority w:val="34"/>
    <w:qFormat/>
    <w:rsid w:val="00A61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9206">
      <w:bodyDiv w:val="1"/>
      <w:marLeft w:val="0"/>
      <w:marRight w:val="0"/>
      <w:marTop w:val="0"/>
      <w:marBottom w:val="0"/>
      <w:divBdr>
        <w:top w:val="none" w:sz="0" w:space="0" w:color="auto"/>
        <w:left w:val="none" w:sz="0" w:space="0" w:color="auto"/>
        <w:bottom w:val="none" w:sz="0" w:space="0" w:color="auto"/>
        <w:right w:val="none" w:sz="0" w:space="0" w:color="auto"/>
      </w:divBdr>
    </w:div>
    <w:div w:id="207501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ile3.intranet.chuv\data3\DP\COORDINATION_FORMATION_DP\offre%20en%20stage%20DP-CHUV\2023-2024\Descriptifs%20stages%20valid&#23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uv.ch/fr/fiches-psy/service-universitaire-de-psychiatrie-de-lenfant-et-de-ladolescent-supe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1725</Words>
  <Characters>9489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Centre Hospitalier Universitaire Vaudois</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Jaquet Valerie</dc:creator>
  <cp:keywords/>
  <dc:description/>
  <cp:lastModifiedBy>Jaquet Valerie</cp:lastModifiedBy>
  <cp:revision>4</cp:revision>
  <dcterms:created xsi:type="dcterms:W3CDTF">2023-05-09T13:29:00Z</dcterms:created>
  <dcterms:modified xsi:type="dcterms:W3CDTF">2023-05-23T09:24:00Z</dcterms:modified>
</cp:coreProperties>
</file>